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93" w:rsidRDefault="00DA3886">
      <w:pPr>
        <w:spacing w:line="46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0"/>
          <w:szCs w:val="30"/>
        </w:rPr>
        <w:t>教育部國民及學前教育署推動高級中等學校學生學習歷程檔案</w:t>
      </w:r>
    </w:p>
    <w:p w:rsidR="00863193" w:rsidRDefault="00DA3886">
      <w:pPr>
        <w:spacing w:line="46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113</w:t>
      </w:r>
      <w:r>
        <w:rPr>
          <w:rFonts w:ascii="Times New Roman" w:eastAsia="標楷體" w:hAnsi="Times New Roman"/>
          <w:b/>
          <w:sz w:val="30"/>
          <w:szCs w:val="30"/>
        </w:rPr>
        <w:t>學年度學生學習歷程檔案</w:t>
      </w:r>
      <w:bookmarkStart w:id="1" w:name="_Hlk126823164"/>
      <w:r>
        <w:rPr>
          <w:rFonts w:ascii="Times New Roman" w:eastAsia="標楷體" w:hAnsi="Times New Roman"/>
          <w:b/>
          <w:sz w:val="30"/>
          <w:szCs w:val="30"/>
        </w:rPr>
        <w:t>分享會</w:t>
      </w:r>
      <w:bookmarkEnd w:id="1"/>
      <w:r>
        <w:rPr>
          <w:rFonts w:ascii="Times New Roman" w:eastAsia="標楷體" w:hAnsi="Times New Roman"/>
          <w:b/>
          <w:sz w:val="30"/>
          <w:szCs w:val="30"/>
        </w:rPr>
        <w:t>系列活動</w:t>
      </w:r>
    </w:p>
    <w:p w:rsidR="00863193" w:rsidRDefault="00DA3886">
      <w:pPr>
        <w:spacing w:line="46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第</w:t>
      </w:r>
      <w:r>
        <w:rPr>
          <w:rFonts w:ascii="Times New Roman" w:eastAsia="標楷體" w:hAnsi="Times New Roman"/>
          <w:b/>
          <w:sz w:val="30"/>
          <w:szCs w:val="30"/>
        </w:rPr>
        <w:t>1</w:t>
      </w:r>
      <w:r>
        <w:rPr>
          <w:rFonts w:ascii="Times New Roman" w:eastAsia="標楷體" w:hAnsi="Times New Roman"/>
          <w:b/>
          <w:sz w:val="30"/>
          <w:szCs w:val="30"/>
        </w:rPr>
        <w:t>場次分享會實施計畫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壹、目的</w:t>
      </w:r>
    </w:p>
    <w:p w:rsidR="00863193" w:rsidRDefault="00DA3886">
      <w:pPr>
        <w:pStyle w:val="af3"/>
        <w:spacing w:line="460" w:lineRule="exact"/>
        <w:ind w:left="850" w:right="-142" w:hanging="56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32"/>
        </w:rPr>
        <w:t>透過學校學生短講發表，分享學習歷程檔案準備過程與完成心得，建立學生觀摩與同儕學習的平臺，進行跨校交流。</w:t>
      </w:r>
    </w:p>
    <w:p w:rsidR="00863193" w:rsidRDefault="00DA3886">
      <w:pPr>
        <w:pStyle w:val="af3"/>
        <w:spacing w:line="460" w:lineRule="exact"/>
        <w:ind w:left="850" w:right="-142" w:hanging="56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32"/>
        </w:rPr>
        <w:t>邀請不同區域學校學生分享其學習歷程檔案，展現學習歷程的豐富性與多元樣態。</w:t>
      </w:r>
    </w:p>
    <w:p w:rsidR="00863193" w:rsidRDefault="00DA3886">
      <w:pPr>
        <w:pStyle w:val="af3"/>
        <w:spacing w:line="460" w:lineRule="exact"/>
        <w:ind w:left="850" w:right="-142" w:hanging="560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三、邀請大學校院教授針對學生學習歷程檔案提供即時回饋與建議，促進參加學生自我反思，精進學習歷程檔案的內容。</w:t>
      </w:r>
    </w:p>
    <w:p w:rsidR="00863193" w:rsidRDefault="00DA3886">
      <w:pPr>
        <w:pStyle w:val="af3"/>
        <w:spacing w:line="460" w:lineRule="exact"/>
        <w:ind w:left="850" w:right="-142" w:hanging="560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四、提昇偏遠地區學校學生學習歷程檔案規劃及資訊蒐集成效，掌握學生參與情形及學校推動情況。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貳、辦理單位</w:t>
      </w:r>
    </w:p>
    <w:p w:rsidR="00863193" w:rsidRDefault="00DA3886">
      <w:pPr>
        <w:spacing w:line="460" w:lineRule="exact"/>
        <w:ind w:left="850" w:right="-281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一、主辦單位：教育部、教育部國民及學前教育署（以下簡稱國教署）。</w:t>
      </w:r>
    </w:p>
    <w:p w:rsidR="00863193" w:rsidRDefault="00DA3886">
      <w:pPr>
        <w:spacing w:line="460" w:lineRule="exact"/>
        <w:ind w:left="85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二、承辦單位：國立花蓮高級商業職業學校（以下簡稱花蓮高商）。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參、參加對象</w:t>
      </w:r>
    </w:p>
    <w:p w:rsidR="00863193" w:rsidRDefault="00DA3886">
      <w:pPr>
        <w:spacing w:line="460" w:lineRule="exact"/>
        <w:ind w:left="85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一、高級中等學校受邀分享學生及指導教師。</w:t>
      </w:r>
    </w:p>
    <w:p w:rsidR="00863193" w:rsidRDefault="00DA3886">
      <w:pPr>
        <w:spacing w:line="460" w:lineRule="exact"/>
        <w:ind w:left="85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二、全國高級中等學校學生、教師。</w:t>
      </w:r>
    </w:p>
    <w:p w:rsidR="00863193" w:rsidRDefault="00DA3886">
      <w:pPr>
        <w:spacing w:line="460" w:lineRule="exact"/>
        <w:ind w:left="850" w:hanging="560"/>
        <w:jc w:val="both"/>
      </w:pPr>
      <w:r>
        <w:rPr>
          <w:rFonts w:ascii="Times New Roman" w:eastAsia="標楷體" w:hAnsi="Times New Roman"/>
          <w:sz w:val="28"/>
          <w:szCs w:val="28"/>
        </w:rPr>
        <w:t>三、大</w:t>
      </w:r>
      <w:r>
        <w:rPr>
          <w:rFonts w:ascii="標楷體" w:eastAsia="標楷體" w:hAnsi="標楷體"/>
          <w:sz w:val="28"/>
          <w:szCs w:val="32"/>
        </w:rPr>
        <w:t>學</w:t>
      </w:r>
      <w:r>
        <w:rPr>
          <w:rFonts w:ascii="Times New Roman" w:eastAsia="標楷體" w:hAnsi="Times New Roman"/>
          <w:sz w:val="28"/>
          <w:szCs w:val="28"/>
        </w:rPr>
        <w:t>校院招生專業化發展推動團隊、技專校院招生專業化總辦公室、大</w:t>
      </w:r>
      <w:r>
        <w:rPr>
          <w:rFonts w:ascii="標楷體" w:eastAsia="標楷體" w:hAnsi="標楷體"/>
          <w:sz w:val="28"/>
          <w:szCs w:val="32"/>
        </w:rPr>
        <w:t>學</w:t>
      </w:r>
      <w:r>
        <w:rPr>
          <w:rFonts w:ascii="Times New Roman" w:eastAsia="標楷體" w:hAnsi="Times New Roman"/>
          <w:sz w:val="28"/>
          <w:szCs w:val="28"/>
        </w:rPr>
        <w:t>校院學者專家。</w:t>
      </w:r>
    </w:p>
    <w:p w:rsidR="00863193" w:rsidRDefault="00DA3886">
      <w:pPr>
        <w:spacing w:line="460" w:lineRule="exact"/>
        <w:ind w:left="85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四、關心本議題之家長。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肆、辦理時間</w:t>
      </w:r>
    </w:p>
    <w:p w:rsidR="00863193" w:rsidRDefault="00DA3886">
      <w:pPr>
        <w:pStyle w:val="af3"/>
        <w:spacing w:line="460" w:lineRule="exact"/>
        <w:ind w:left="283" w:right="-142" w:firstLine="568"/>
        <w:jc w:val="both"/>
      </w:pPr>
      <w:bookmarkStart w:id="2" w:name="_Hlk143682048"/>
      <w:r>
        <w:rPr>
          <w:rFonts w:ascii="標楷體" w:eastAsia="標楷體" w:hAnsi="標楷體"/>
          <w:sz w:val="28"/>
          <w:szCs w:val="32"/>
        </w:rPr>
        <w:t>113</w:t>
      </w:r>
      <w:r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/>
          <w:sz w:val="28"/>
          <w:szCs w:val="32"/>
        </w:rPr>
        <w:t>3</w:t>
      </w:r>
      <w:r>
        <w:rPr>
          <w:rFonts w:ascii="標楷體" w:eastAsia="標楷體" w:hAnsi="標楷體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</w:rPr>
        <w:t>30</w:t>
      </w:r>
      <w:r>
        <w:rPr>
          <w:rFonts w:ascii="標楷體" w:eastAsia="標楷體" w:hAnsi="標楷體"/>
          <w:sz w:val="28"/>
          <w:szCs w:val="32"/>
        </w:rPr>
        <w:t>日（星期六）</w:t>
      </w:r>
      <w:bookmarkEnd w:id="2"/>
      <w:r>
        <w:rPr>
          <w:rFonts w:ascii="標楷體" w:eastAsia="標楷體" w:hAnsi="標楷體"/>
          <w:sz w:val="28"/>
          <w:szCs w:val="32"/>
        </w:rPr>
        <w:t>中午</w:t>
      </w:r>
      <w:r>
        <w:rPr>
          <w:rFonts w:ascii="標楷體" w:eastAsia="標楷體" w:hAnsi="標楷體"/>
          <w:sz w:val="28"/>
          <w:szCs w:val="32"/>
        </w:rPr>
        <w:t>12</w:t>
      </w:r>
      <w:r>
        <w:rPr>
          <w:rFonts w:ascii="標楷體" w:eastAsia="標楷體" w:hAnsi="標楷體"/>
          <w:sz w:val="28"/>
          <w:szCs w:val="32"/>
        </w:rPr>
        <w:t>時</w:t>
      </w:r>
      <w:r>
        <w:rPr>
          <w:rFonts w:ascii="標楷體" w:eastAsia="標楷體" w:hAnsi="標楷體"/>
          <w:sz w:val="28"/>
          <w:szCs w:val="32"/>
        </w:rPr>
        <w:t>30</w:t>
      </w:r>
      <w:r>
        <w:rPr>
          <w:rFonts w:ascii="標楷體" w:eastAsia="標楷體" w:hAnsi="標楷體"/>
          <w:sz w:val="28"/>
          <w:szCs w:val="32"/>
        </w:rPr>
        <w:t>分開始報到，請於報到時間再行</w:t>
      </w:r>
      <w:r>
        <w:rPr>
          <w:rFonts w:ascii="Times New Roman" w:eastAsia="標楷體" w:hAnsi="Times New Roman" w:cs="Times New Roman"/>
          <w:sz w:val="28"/>
          <w:szCs w:val="28"/>
        </w:rPr>
        <w:t>線上</w:t>
      </w:r>
      <w:r>
        <w:rPr>
          <w:rFonts w:ascii="標楷體" w:eastAsia="標楷體" w:hAnsi="標楷體"/>
          <w:sz w:val="28"/>
          <w:szCs w:val="32"/>
        </w:rPr>
        <w:t>登入。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伍、辦理方式：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:rsidR="00863193" w:rsidRDefault="00DA3886">
      <w:pPr>
        <w:spacing w:line="460" w:lineRule="exact"/>
        <w:ind w:left="846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一、分享會分為普通型（</w:t>
      </w:r>
      <w:r>
        <w:rPr>
          <w:rFonts w:ascii="Times New Roman" w:eastAsia="標楷體" w:hAnsi="Times New Roman"/>
          <w:sz w:val="28"/>
          <w:szCs w:val="28"/>
        </w:rPr>
        <w:t>A</w:t>
      </w:r>
      <w:r>
        <w:rPr>
          <w:rFonts w:ascii="Times New Roman" w:eastAsia="標楷體" w:hAnsi="Times New Roman"/>
          <w:sz w:val="28"/>
          <w:szCs w:val="28"/>
        </w:rPr>
        <w:t>）及技術型（</w:t>
      </w:r>
      <w:r>
        <w:rPr>
          <w:rFonts w:ascii="Times New Roman" w:eastAsia="標楷體" w:hAnsi="Times New Roman"/>
          <w:sz w:val="28"/>
          <w:szCs w:val="28"/>
        </w:rPr>
        <w:t>B</w:t>
      </w:r>
      <w:r>
        <w:rPr>
          <w:rFonts w:ascii="Times New Roman" w:eastAsia="標楷體" w:hAnsi="Times New Roman"/>
          <w:sz w:val="28"/>
          <w:szCs w:val="28"/>
        </w:rPr>
        <w:t>）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類別，請參加人員於報名時選擇組別。</w:t>
      </w:r>
    </w:p>
    <w:p w:rsidR="00863193" w:rsidRDefault="00DA3886">
      <w:pPr>
        <w:spacing w:line="460" w:lineRule="exact"/>
        <w:ind w:left="1042" w:hanging="75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二、所有參與人員皆同時參加開幕及專題演講，無須換場。</w:t>
      </w:r>
    </w:p>
    <w:p w:rsidR="00863193" w:rsidRDefault="00DA3886">
      <w:pPr>
        <w:spacing w:line="460" w:lineRule="exact"/>
        <w:ind w:left="1042" w:hanging="75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三、分享會採實體與線上同步方式辦理：</w:t>
      </w:r>
    </w:p>
    <w:p w:rsidR="00863193" w:rsidRDefault="00DA3886">
      <w:pPr>
        <w:spacing w:line="460" w:lineRule="exact"/>
        <w:ind w:left="1275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（一）實體分享：高級中等學校受邀分享學生及指導教師，至花蓮高商（花蓮市中山路</w:t>
      </w:r>
      <w:r>
        <w:rPr>
          <w:rFonts w:ascii="Times New Roman" w:eastAsia="標楷體" w:hAnsi="Times New Roman"/>
          <w:sz w:val="28"/>
          <w:szCs w:val="28"/>
        </w:rPr>
        <w:t>418</w:t>
      </w:r>
      <w:r>
        <w:rPr>
          <w:rFonts w:ascii="Times New Roman" w:eastAsia="標楷體" w:hAnsi="Times New Roman"/>
          <w:sz w:val="28"/>
          <w:szCs w:val="28"/>
        </w:rPr>
        <w:t>號）進行分享。</w:t>
      </w:r>
    </w:p>
    <w:p w:rsidR="00863193" w:rsidRDefault="00DA3886">
      <w:pPr>
        <w:spacing w:line="460" w:lineRule="exact"/>
        <w:ind w:left="1275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（二）線上參與：歡迎全國高級中等學校學生、教師、家長、大專校院學者專家、大學校院招生專業化發展推動團隊、</w:t>
      </w:r>
      <w:r>
        <w:rPr>
          <w:rFonts w:ascii="Times New Roman" w:eastAsia="標楷體" w:hAnsi="Times New Roman"/>
          <w:sz w:val="28"/>
          <w:szCs w:val="28"/>
        </w:rPr>
        <w:t>技專校院招生專業化總辦公室代表報名參加，並透過</w:t>
      </w:r>
      <w:bookmarkStart w:id="3" w:name="_Hlk78555851"/>
      <w:r>
        <w:rPr>
          <w:rFonts w:ascii="Times New Roman" w:eastAsia="標楷體" w:hAnsi="Times New Roman"/>
          <w:sz w:val="28"/>
          <w:szCs w:val="28"/>
        </w:rPr>
        <w:t>Google meet</w:t>
      </w:r>
      <w:r>
        <w:rPr>
          <w:rFonts w:ascii="Times New Roman" w:eastAsia="標楷體" w:hAnsi="Times New Roman"/>
          <w:sz w:val="28"/>
          <w:szCs w:val="28"/>
        </w:rPr>
        <w:t>軟體</w:t>
      </w:r>
      <w:bookmarkEnd w:id="3"/>
      <w:r>
        <w:rPr>
          <w:rFonts w:ascii="Times New Roman" w:eastAsia="標楷體" w:hAnsi="Times New Roman"/>
          <w:sz w:val="28"/>
          <w:szCs w:val="28"/>
        </w:rPr>
        <w:t>參加線上交流及</w:t>
      </w:r>
      <w:r>
        <w:rPr>
          <w:rFonts w:ascii="Times New Roman" w:eastAsia="標楷體" w:hAnsi="Times New Roman"/>
          <w:sz w:val="28"/>
          <w:szCs w:val="28"/>
        </w:rPr>
        <w:t>Youtube</w:t>
      </w:r>
      <w:r>
        <w:rPr>
          <w:rFonts w:ascii="Times New Roman" w:eastAsia="標楷體" w:hAnsi="Times New Roman"/>
          <w:sz w:val="28"/>
          <w:szCs w:val="28"/>
        </w:rPr>
        <w:t>直播（可容納</w:t>
      </w:r>
      <w:r>
        <w:rPr>
          <w:rFonts w:ascii="Times New Roman" w:eastAsia="標楷體" w:hAnsi="Times New Roman"/>
          <w:sz w:val="28"/>
          <w:szCs w:val="28"/>
        </w:rPr>
        <w:t>1,000</w:t>
      </w:r>
      <w:r>
        <w:rPr>
          <w:rFonts w:ascii="Times New Roman" w:eastAsia="標楷體" w:hAnsi="Times New Roman"/>
          <w:sz w:val="28"/>
          <w:szCs w:val="28"/>
        </w:rPr>
        <w:t>人）。</w:t>
      </w:r>
    </w:p>
    <w:p w:rsidR="00863193" w:rsidRDefault="00DA3886">
      <w:pPr>
        <w:pageBreakBefore/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陸、實施流程</w:t>
      </w:r>
    </w:p>
    <w:tbl>
      <w:tblPr>
        <w:tblW w:w="850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3347"/>
        <w:gridCol w:w="3402"/>
      </w:tblGrid>
      <w:tr w:rsidR="0086319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議程／主持／主講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12:30-13:00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(30 mins)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報到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（花蓮高商服務團隊）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13:00-13:10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(10 mins)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開幕式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國教署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13:10-13:30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(20 mins)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【專題演講：我要怎麼做學習歷程檔案】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國立臺灣師範大學附屬高級中學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洪逸文老師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13:30-13:40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(10 mins)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休息換場（實體）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13:40-14:40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(60 mins)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每校各</w:t>
            </w:r>
            <w:r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/>
                <w:sz w:val="22"/>
              </w:rPr>
              <w:t>分鐘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A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普通型（綜高學術學程）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B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技術型（綜高專門學程）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863193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主持人／與談人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（大學教授與高中師長）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------------------------------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【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暖暖高中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【宜蘭高中】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【花蓮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高中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【花蓮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女中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【玉里</w:t>
            </w:r>
            <w:r>
              <w:rPr>
                <w:rFonts w:ascii="Times New Roman" w:eastAsia="標楷體" w:hAnsi="Times New Roman"/>
                <w:color w:val="FF0000"/>
                <w:kern w:val="0"/>
                <w:sz w:val="28"/>
                <w:szCs w:val="28"/>
              </w:rPr>
              <w:t>高中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】</w:t>
            </w:r>
          </w:p>
          <w:p w:rsidR="00863193" w:rsidRDefault="0086319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主持人／與談人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（大學教授與高中師長）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------------------------------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【頭城家商】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【花蓮高商】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【光復高商】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【關山工商】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【成功商水】</w:t>
            </w:r>
          </w:p>
          <w:p w:rsidR="00863193" w:rsidRDefault="00DA388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【臺東高商】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14:40-14:50</w:t>
            </w:r>
          </w:p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(10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mins)</w:t>
            </w:r>
          </w:p>
        </w:tc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休息時間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14:50-16:10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(80 mins)</w:t>
            </w:r>
          </w:p>
          <w:p w:rsidR="00863193" w:rsidRDefault="00DA3886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與談人每人回饋約</w:t>
            </w:r>
            <w:r>
              <w:rPr>
                <w:rFonts w:ascii="Times New Roman" w:eastAsia="標楷體" w:hAnsi="Times New Roman"/>
                <w:sz w:val="22"/>
              </w:rPr>
              <w:t>15</w:t>
            </w:r>
            <w:r>
              <w:rPr>
                <w:rFonts w:ascii="Times New Roman" w:eastAsia="標楷體" w:hAnsi="Times New Roman"/>
                <w:sz w:val="22"/>
              </w:rPr>
              <w:t>分鐘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4" w:name="_Hlk78555930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與談人回饋與建議</w:t>
            </w:r>
            <w:bookmarkEnd w:id="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與談人回饋與建議</w:t>
            </w:r>
          </w:p>
        </w:tc>
      </w:tr>
      <w:tr w:rsidR="00863193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16:10-16:30</w:t>
            </w:r>
          </w:p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(20 mins)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綜合座談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193" w:rsidRDefault="00DA3886">
            <w:pPr>
              <w:spacing w:line="4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綜合座談</w:t>
            </w:r>
          </w:p>
        </w:tc>
      </w:tr>
    </w:tbl>
    <w:p w:rsidR="00000000" w:rsidRDefault="00DA3886">
      <w:pPr>
        <w:sectPr w:rsidR="00000000">
          <w:footerReference w:type="default" r:id="rId7"/>
          <w:pgSz w:w="11906" w:h="16838"/>
          <w:pgMar w:top="1134" w:right="1416" w:bottom="1134" w:left="1701" w:header="851" w:footer="567" w:gutter="0"/>
          <w:cols w:space="720"/>
          <w:docGrid w:type="lines" w:linePitch="416"/>
        </w:sectPr>
      </w:pP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柒、報名方式</w:t>
      </w:r>
    </w:p>
    <w:p w:rsidR="00863193" w:rsidRDefault="00DA3886">
      <w:pPr>
        <w:spacing w:line="460" w:lineRule="exact"/>
        <w:ind w:left="846" w:hanging="560"/>
        <w:jc w:val="both"/>
      </w:pPr>
      <w:r>
        <w:rPr>
          <w:rFonts w:ascii="Times New Roman" w:eastAsia="標楷體" w:hAnsi="Times New Roman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即日起至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3</w:t>
      </w:r>
      <w:r>
        <w:rPr>
          <w:rFonts w:ascii="Times New Roman" w:eastAsia="標楷體" w:hAnsi="Times New Roman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kern w:val="0"/>
          <w:sz w:val="28"/>
          <w:szCs w:val="28"/>
        </w:rPr>
        <w:t>24</w:t>
      </w:r>
      <w:r>
        <w:rPr>
          <w:rFonts w:ascii="Times New Roman" w:eastAsia="標楷體" w:hAnsi="Times New Roman"/>
          <w:kern w:val="0"/>
          <w:sz w:val="28"/>
          <w:szCs w:val="28"/>
        </w:rPr>
        <w:t>日（星期日）止</w:t>
      </w:r>
      <w:r>
        <w:rPr>
          <w:rFonts w:ascii="Times New Roman" w:eastAsia="標楷體" w:hAnsi="Times New Roman"/>
          <w:sz w:val="28"/>
          <w:szCs w:val="28"/>
        </w:rPr>
        <w:t>，請逕至</w:t>
      </w:r>
      <w:r>
        <w:rPr>
          <w:rFonts w:ascii="Times New Roman" w:eastAsia="標楷體" w:hAnsi="Times New Roman"/>
          <w:sz w:val="28"/>
          <w:szCs w:val="28"/>
        </w:rPr>
        <w:t>Google</w:t>
      </w:r>
      <w:r>
        <w:rPr>
          <w:rFonts w:ascii="Times New Roman" w:eastAsia="標楷體" w:hAnsi="Times New Roman"/>
          <w:sz w:val="28"/>
          <w:szCs w:val="28"/>
        </w:rPr>
        <w:t>表單報名，分享會報名網址：</w:t>
      </w:r>
      <w:hyperlink r:id="rId8" w:history="1">
        <w:r>
          <w:rPr>
            <w:rStyle w:val="ab"/>
            <w:rFonts w:ascii="Times New Roman" w:eastAsia="標楷體" w:hAnsi="Times New Roman"/>
            <w:sz w:val="28"/>
            <w:szCs w:val="28"/>
          </w:rPr>
          <w:t>https://forms.gle/AF3RUSYMBUEBLpuy7</w:t>
        </w:r>
      </w:hyperlink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。</w:t>
      </w:r>
    </w:p>
    <w:p w:rsidR="00863193" w:rsidRDefault="00DA3886">
      <w:pPr>
        <w:spacing w:line="460" w:lineRule="exact"/>
        <w:ind w:left="960" w:hanging="4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1872618</wp:posOffset>
                </wp:positionH>
                <wp:positionV relativeFrom="paragraph">
                  <wp:posOffset>250829</wp:posOffset>
                </wp:positionV>
                <wp:extent cx="1781178" cy="1666878"/>
                <wp:effectExtent l="0" t="0" r="28572" b="28572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1666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3193" w:rsidRDefault="00DA3886">
                            <w:r>
                              <w:rPr>
                                <w:rFonts w:ascii="Times New Roman" w:hAnsi="Times New Roman"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620554" cy="1555732"/>
                                  <wp:effectExtent l="0" t="0" r="0" b="6368"/>
                                  <wp:docPr id="1" name="圖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554" cy="1555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7.45pt;margin-top:19.75pt;width:140.25pt;height:13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" strokeweight=".26467mm">
                <v:textbox>
                  <w:txbxContent>
                    <w:p w:rsidR="00863193" w:rsidRDefault="00DA3886">
                      <w:r>
                        <w:rPr>
                          <w:rFonts w:ascii="Times New Roman" w:hAnsi="Times New Roman"/>
                          <w:noProof/>
                          <w:color w:val="FF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620554" cy="1555732"/>
                            <wp:effectExtent l="0" t="0" r="0" b="6368"/>
                            <wp:docPr id="1" name="圖片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554" cy="1555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標楷體" w:hAnsi="Times New Roman"/>
          <w:sz w:val="28"/>
          <w:szCs w:val="28"/>
        </w:rPr>
        <w:t xml:space="preserve">                                  </w:t>
      </w:r>
    </w:p>
    <w:p w:rsidR="00863193" w:rsidRDefault="00863193">
      <w:pPr>
        <w:pStyle w:val="ac"/>
        <w:widowControl/>
        <w:spacing w:line="460" w:lineRule="exact"/>
        <w:ind w:left="362"/>
        <w:jc w:val="both"/>
      </w:pPr>
    </w:p>
    <w:p w:rsidR="00863193" w:rsidRDefault="00863193">
      <w:pPr>
        <w:pStyle w:val="ac"/>
        <w:widowControl/>
        <w:spacing w:line="460" w:lineRule="exact"/>
        <w:ind w:left="362"/>
        <w:jc w:val="both"/>
      </w:pPr>
    </w:p>
    <w:p w:rsidR="00863193" w:rsidRDefault="00863193">
      <w:pPr>
        <w:pStyle w:val="ac"/>
        <w:widowControl/>
        <w:spacing w:line="460" w:lineRule="exact"/>
        <w:ind w:left="362"/>
        <w:jc w:val="both"/>
      </w:pPr>
    </w:p>
    <w:p w:rsidR="00863193" w:rsidRDefault="00863193">
      <w:pPr>
        <w:pStyle w:val="ac"/>
        <w:widowControl/>
        <w:spacing w:line="460" w:lineRule="exact"/>
        <w:ind w:left="362"/>
        <w:jc w:val="both"/>
      </w:pPr>
    </w:p>
    <w:p w:rsidR="00863193" w:rsidRDefault="00863193">
      <w:pPr>
        <w:pStyle w:val="ac"/>
        <w:widowControl/>
        <w:spacing w:line="460" w:lineRule="exact"/>
        <w:ind w:left="362"/>
        <w:jc w:val="both"/>
      </w:pPr>
    </w:p>
    <w:p w:rsidR="00863193" w:rsidRDefault="00863193">
      <w:pPr>
        <w:pStyle w:val="af3"/>
        <w:spacing w:line="460" w:lineRule="exact"/>
        <w:ind w:left="850" w:right="-142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63193" w:rsidRDefault="00DA3886">
      <w:pPr>
        <w:pStyle w:val="af3"/>
        <w:spacing w:line="460" w:lineRule="exact"/>
        <w:ind w:left="850" w:right="-142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二、當日視訊會議及</w:t>
      </w:r>
      <w:r>
        <w:rPr>
          <w:rFonts w:ascii="Times New Roman" w:eastAsia="標楷體" w:hAnsi="Times New Roman" w:cs="Times New Roman"/>
          <w:sz w:val="28"/>
          <w:szCs w:val="28"/>
        </w:rPr>
        <w:t>Youtube</w:t>
      </w:r>
      <w:r>
        <w:rPr>
          <w:rFonts w:ascii="Times New Roman" w:eastAsia="標楷體" w:hAnsi="Times New Roman" w:cs="Times New Roman"/>
          <w:sz w:val="28"/>
          <w:szCs w:val="28"/>
        </w:rPr>
        <w:t>線上直播連結網址，將於報名截止後，寄至報名參與人員信箱（請報名人員務必填寫正確電子信箱，並確認信箱能正常收信）。</w:t>
      </w:r>
    </w:p>
    <w:p w:rsidR="00863193" w:rsidRDefault="00DA3886">
      <w:pPr>
        <w:spacing w:line="460" w:lineRule="exact"/>
        <w:ind w:left="1042" w:hanging="75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三、若有疑問，請洽詢花蓮高商邱亦縈秘書，電話：</w:t>
      </w:r>
      <w:r>
        <w:rPr>
          <w:rFonts w:ascii="Times New Roman" w:eastAsia="標楷體" w:hAnsi="Times New Roman"/>
          <w:sz w:val="28"/>
          <w:szCs w:val="28"/>
        </w:rPr>
        <w:t>03-8312202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863193" w:rsidRDefault="00DA3886">
      <w:pPr>
        <w:spacing w:line="460" w:lineRule="exact"/>
        <w:ind w:left="2834" w:firstLine="2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花蓮高商彭沄蓁小姐，電話：</w:t>
      </w:r>
      <w:r>
        <w:rPr>
          <w:rFonts w:ascii="Times New Roman" w:eastAsia="標楷體" w:hAnsi="Times New Roman"/>
          <w:sz w:val="28"/>
          <w:szCs w:val="28"/>
        </w:rPr>
        <w:t>03-8312202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863193" w:rsidRDefault="00DA3886">
      <w:pPr>
        <w:spacing w:before="180" w:after="180"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捌、經費</w:t>
      </w:r>
    </w:p>
    <w:p w:rsidR="00863193" w:rsidRDefault="00DA3886">
      <w:pPr>
        <w:pStyle w:val="af3"/>
        <w:spacing w:line="460" w:lineRule="exact"/>
        <w:ind w:left="480" w:firstLine="560"/>
        <w:jc w:val="both"/>
      </w:pPr>
      <w:r>
        <w:rPr>
          <w:rFonts w:ascii="Times New Roman" w:eastAsia="標楷體" w:hAnsi="Times New Roman" w:cs="Times New Roman"/>
          <w:sz w:val="28"/>
        </w:rPr>
        <w:t>本分享會相關庶務費用，由國教署委託花蓮高商承辦之「</w:t>
      </w:r>
      <w:r>
        <w:rPr>
          <w:rFonts w:ascii="標楷體" w:eastAsia="標楷體" w:hAnsi="標楷體"/>
          <w:sz w:val="28"/>
        </w:rPr>
        <w:t>教育部國民及學前教育署推動高級中等學校學生學習歷程檔案</w:t>
      </w:r>
      <w:r>
        <w:rPr>
          <w:rFonts w:ascii="標楷體" w:eastAsia="標楷體" w:hAnsi="標楷體" w:cs="Times New Roman"/>
          <w:sz w:val="28"/>
        </w:rPr>
        <w:t>111</w:t>
      </w:r>
      <w:r>
        <w:rPr>
          <w:rFonts w:ascii="標楷體" w:eastAsia="標楷體" w:hAnsi="標楷體"/>
          <w:sz w:val="28"/>
        </w:rPr>
        <w:t>學年度學生學習歷程檔案分享會系列活動實施計畫</w:t>
      </w:r>
      <w:r>
        <w:rPr>
          <w:rFonts w:ascii="Times New Roman" w:eastAsia="標楷體" w:hAnsi="Times New Roman" w:cs="Times New Roman"/>
          <w:sz w:val="28"/>
        </w:rPr>
        <w:t>」經費下支應。</w:t>
      </w:r>
    </w:p>
    <w:sectPr w:rsidR="00863193">
      <w:footerReference w:type="default" r:id="rId10"/>
      <w:pgSz w:w="11906" w:h="16838"/>
      <w:pgMar w:top="1134" w:right="1416" w:bottom="1134" w:left="1701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86" w:rsidRDefault="00DA3886">
      <w:r>
        <w:separator/>
      </w:r>
    </w:p>
  </w:endnote>
  <w:endnote w:type="continuationSeparator" w:id="0">
    <w:p w:rsidR="00DA3886" w:rsidRDefault="00DA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3B" w:rsidRDefault="00DA388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7183C">
      <w:rPr>
        <w:noProof/>
        <w:lang w:val="zh-TW"/>
      </w:rPr>
      <w:t>3</w:t>
    </w:r>
    <w:r>
      <w:rPr>
        <w:lang w:val="zh-TW"/>
      </w:rPr>
      <w:fldChar w:fldCharType="end"/>
    </w:r>
  </w:p>
  <w:p w:rsidR="0049473B" w:rsidRDefault="00DA38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3B" w:rsidRDefault="00DA388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1498D">
      <w:rPr>
        <w:noProof/>
        <w:lang w:val="zh-TW"/>
      </w:rPr>
      <w:t>4</w:t>
    </w:r>
    <w:r>
      <w:rPr>
        <w:lang w:val="zh-TW"/>
      </w:rPr>
      <w:fldChar w:fldCharType="end"/>
    </w:r>
  </w:p>
  <w:p w:rsidR="0049473B" w:rsidRDefault="00DA38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86" w:rsidRDefault="00DA3886">
      <w:r>
        <w:rPr>
          <w:color w:val="000000"/>
        </w:rPr>
        <w:separator/>
      </w:r>
    </w:p>
  </w:footnote>
  <w:footnote w:type="continuationSeparator" w:id="0">
    <w:p w:rsidR="00DA3886" w:rsidRDefault="00DA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3193"/>
    <w:rsid w:val="0007183C"/>
    <w:rsid w:val="00863193"/>
    <w:rsid w:val="0091498D"/>
    <w:rsid w:val="00D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paragraph" w:styleId="a6">
    <w:name w:val="annotation subject"/>
    <w:basedOn w:val="a5"/>
    <w:next w:val="a5"/>
    <w:rPr>
      <w:b/>
      <w:bCs/>
    </w:rPr>
  </w:style>
  <w:style w:type="character" w:styleId="a7">
    <w:name w:val="Emphasis"/>
    <w:basedOn w:val="a0"/>
    <w:rPr>
      <w:i/>
      <w:iCs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d">
    <w:name w:val="Placeholder Text"/>
    <w:basedOn w:val="a0"/>
    <w:rPr>
      <w:color w:val="808080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kern w:val="3"/>
      <w:sz w:val="24"/>
      <w:szCs w:val="22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af1">
    <w:name w:val="註解文字 字元"/>
    <w:basedOn w:val="a0"/>
  </w:style>
  <w:style w:type="character" w:customStyle="1" w:styleId="af2">
    <w:name w:val="註解主旨 字元"/>
    <w:basedOn w:val="af1"/>
    <w:rPr>
      <w:b/>
      <w:bCs/>
    </w:rPr>
  </w:style>
  <w:style w:type="character" w:customStyle="1" w:styleId="2">
    <w:name w:val="未解析的提及項目2"/>
    <w:basedOn w:val="a0"/>
    <w:rPr>
      <w:color w:val="605E5C"/>
      <w:shd w:val="clear" w:color="auto" w:fill="E1DFDD"/>
    </w:rPr>
  </w:style>
  <w:style w:type="paragraph" w:styleId="af3">
    <w:name w:val="Body Text"/>
    <w:basedOn w:val="a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f4">
    <w:name w:val="本文 字元"/>
    <w:basedOn w:val="a0"/>
    <w:rPr>
      <w:rFonts w:ascii="SimSun" w:eastAsia="SimSun" w:hAnsi="SimSun" w:cs="SimSun"/>
      <w:sz w:val="24"/>
      <w:szCs w:val="24"/>
    </w:rPr>
  </w:style>
  <w:style w:type="character" w:customStyle="1" w:styleId="3">
    <w:name w:val="未解析的提及項目3"/>
    <w:basedOn w:val="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paragraph" w:styleId="a6">
    <w:name w:val="annotation subject"/>
    <w:basedOn w:val="a5"/>
    <w:next w:val="a5"/>
    <w:rPr>
      <w:b/>
      <w:bCs/>
    </w:rPr>
  </w:style>
  <w:style w:type="character" w:styleId="a7">
    <w:name w:val="Emphasis"/>
    <w:basedOn w:val="a0"/>
    <w:rPr>
      <w:i/>
      <w:iCs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paragraph" w:styleId="ac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d">
    <w:name w:val="Placeholder Text"/>
    <w:basedOn w:val="a0"/>
    <w:rPr>
      <w:color w:val="808080"/>
    </w:rPr>
  </w:style>
  <w:style w:type="character" w:customStyle="1" w:styleId="ae">
    <w:name w:val="頁首 字元"/>
    <w:basedOn w:val="a0"/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kern w:val="3"/>
      <w:sz w:val="24"/>
      <w:szCs w:val="22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af1">
    <w:name w:val="註解文字 字元"/>
    <w:basedOn w:val="a0"/>
  </w:style>
  <w:style w:type="character" w:customStyle="1" w:styleId="af2">
    <w:name w:val="註解主旨 字元"/>
    <w:basedOn w:val="af1"/>
    <w:rPr>
      <w:b/>
      <w:bCs/>
    </w:rPr>
  </w:style>
  <w:style w:type="character" w:customStyle="1" w:styleId="2">
    <w:name w:val="未解析的提及項目2"/>
    <w:basedOn w:val="a0"/>
    <w:rPr>
      <w:color w:val="605E5C"/>
      <w:shd w:val="clear" w:color="auto" w:fill="E1DFDD"/>
    </w:rPr>
  </w:style>
  <w:style w:type="paragraph" w:styleId="af3">
    <w:name w:val="Body Text"/>
    <w:basedOn w:val="a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f4">
    <w:name w:val="本文 字元"/>
    <w:basedOn w:val="a0"/>
    <w:rPr>
      <w:rFonts w:ascii="SimSun" w:eastAsia="SimSun" w:hAnsi="SimSun" w:cs="SimSun"/>
      <w:sz w:val="24"/>
      <w:szCs w:val="24"/>
    </w:rPr>
  </w:style>
  <w:style w:type="character" w:customStyle="1" w:styleId="3">
    <w:name w:val="未解析的提及項目3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F3RUSYMBUEBLpuy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2024-03-11T02:05:00Z</cp:lastPrinted>
  <dcterms:created xsi:type="dcterms:W3CDTF">2024-03-18T01:47:00Z</dcterms:created>
  <dcterms:modified xsi:type="dcterms:W3CDTF">2024-03-18T01:47:00Z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37E2346EF7F24982B99B68D2773A9D86</vt:lpwstr>
  </property>
  <property fmtid="{D5CDD505-2E9C-101B-9397-08002B2CF9AE}" pid="4" name="GrammarlyDocumentId">
    <vt:lpwstr>94fd46e5e872a33b575de24d57fbbf3b6a8c8359e810d308be98364987255133</vt:lpwstr>
  </property>
</Properties>
</file>